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B9" w:rsidRPr="00340A19" w:rsidRDefault="000F15B9" w:rsidP="00340A19">
      <w:pPr>
        <w:widowControl/>
        <w:jc w:val="left"/>
        <w:rPr>
          <w:rFonts w:ascii="宋体" w:eastAsia="宋体" w:hAnsi="宋体" w:cs="宋体"/>
          <w:color w:val="000000"/>
          <w:kern w:val="0"/>
          <w:sz w:val="23"/>
          <w:szCs w:val="23"/>
        </w:rPr>
      </w:pPr>
      <w:r w:rsidRPr="00764A3F">
        <w:rPr>
          <w:rFonts w:eastAsia="黑体" w:cs="Times New Roman"/>
          <w:sz w:val="44"/>
        </w:rPr>
        <w:t>常州爱匹克斯化工研究所有限公司</w:t>
      </w:r>
      <w:r w:rsidRPr="00DC33DE">
        <w:rPr>
          <w:rFonts w:eastAsia="黑体" w:cs="Times New Roman"/>
          <w:color w:val="000000" w:themeColor="text1"/>
          <w:sz w:val="44"/>
        </w:rPr>
        <w:t>原</w:t>
      </w:r>
      <w:r w:rsidRPr="00764A3F">
        <w:rPr>
          <w:rFonts w:eastAsia="黑体" w:cs="Times New Roman"/>
          <w:sz w:val="44"/>
        </w:rPr>
        <w:t>地块</w:t>
      </w:r>
    </w:p>
    <w:p w:rsidR="000F15B9" w:rsidRPr="00764A3F" w:rsidRDefault="000F15B9" w:rsidP="000F15B9">
      <w:pPr>
        <w:jc w:val="center"/>
        <w:rPr>
          <w:rFonts w:eastAsia="黑体" w:cs="Times New Roman"/>
          <w:sz w:val="44"/>
        </w:rPr>
      </w:pPr>
      <w:r w:rsidRPr="00764A3F">
        <w:rPr>
          <w:rFonts w:eastAsia="黑体" w:cs="Times New Roman"/>
          <w:sz w:val="44"/>
        </w:rPr>
        <w:t>场地环境调查与风险评估报告</w:t>
      </w:r>
    </w:p>
    <w:p w:rsidR="000F15B9" w:rsidRPr="00764A3F" w:rsidRDefault="000F15B9" w:rsidP="000F15B9">
      <w:pPr>
        <w:jc w:val="center"/>
        <w:rPr>
          <w:rFonts w:eastAsia="黑体" w:cs="Times New Roman"/>
          <w:sz w:val="40"/>
        </w:rPr>
      </w:pPr>
      <w:r w:rsidRPr="00764A3F">
        <w:rPr>
          <w:rFonts w:eastAsia="黑体" w:cs="Times New Roman"/>
          <w:sz w:val="40"/>
        </w:rPr>
        <w:t>（</w:t>
      </w:r>
      <w:r w:rsidRPr="00DC33DE">
        <w:rPr>
          <w:rFonts w:eastAsia="黑体" w:cs="Times New Roman"/>
          <w:color w:val="000000" w:themeColor="text1"/>
          <w:sz w:val="40"/>
        </w:rPr>
        <w:t>备案稿</w:t>
      </w:r>
      <w:r w:rsidRPr="00764A3F">
        <w:rPr>
          <w:rFonts w:eastAsia="黑体" w:cs="Times New Roman"/>
          <w:sz w:val="40"/>
        </w:rPr>
        <w:t>）</w:t>
      </w:r>
    </w:p>
    <w:p w:rsidR="00180A16" w:rsidRPr="00180A16" w:rsidRDefault="00180A16" w:rsidP="007E3919">
      <w:pPr>
        <w:widowControl/>
        <w:shd w:val="clear" w:color="auto" w:fill="FFFFFF"/>
        <w:spacing w:line="360" w:lineRule="atLeast"/>
        <w:ind w:firstLine="480"/>
        <w:jc w:val="center"/>
        <w:rPr>
          <w:rFonts w:ascii="宋体" w:eastAsia="宋体" w:hAnsi="宋体" w:cs="宋体"/>
          <w:color w:val="000000"/>
          <w:kern w:val="0"/>
          <w:sz w:val="23"/>
          <w:szCs w:val="23"/>
        </w:rPr>
      </w:pPr>
    </w:p>
    <w:p w:rsidR="000F15B9" w:rsidRPr="000F15B9" w:rsidRDefault="000F15B9" w:rsidP="000F15B9">
      <w:pPr>
        <w:spacing w:line="360" w:lineRule="auto"/>
        <w:ind w:firstLineChars="200" w:firstLine="560"/>
        <w:rPr>
          <w:rFonts w:ascii="Times New Roman" w:eastAsia="宋体" w:hAnsi="Times New Roman" w:cs="Times New Roman"/>
          <w:sz w:val="28"/>
        </w:rPr>
      </w:pPr>
      <w:r w:rsidRPr="000F15B9">
        <w:rPr>
          <w:rFonts w:ascii="Times New Roman" w:eastAsia="宋体" w:hAnsi="Times New Roman" w:cs="Times New Roman"/>
          <w:sz w:val="28"/>
        </w:rPr>
        <w:t>本次场地调查是针对常州爱匹克斯化工研究所有限公司（以下简称</w:t>
      </w:r>
      <w:r w:rsidRPr="000F15B9">
        <w:rPr>
          <w:rFonts w:ascii="Times New Roman" w:eastAsia="宋体" w:hAnsi="Times New Roman" w:cs="Times New Roman"/>
          <w:sz w:val="28"/>
        </w:rPr>
        <w:t>“</w:t>
      </w:r>
      <w:r w:rsidRPr="000F15B9">
        <w:rPr>
          <w:rFonts w:ascii="Times New Roman" w:eastAsia="宋体" w:hAnsi="Times New Roman" w:cs="Times New Roman"/>
          <w:sz w:val="28"/>
        </w:rPr>
        <w:t>爱匹克斯</w:t>
      </w:r>
      <w:r w:rsidRPr="000F15B9">
        <w:rPr>
          <w:rFonts w:ascii="Times New Roman" w:eastAsia="宋体" w:hAnsi="Times New Roman" w:cs="Times New Roman"/>
          <w:sz w:val="28"/>
        </w:rPr>
        <w:t>”</w:t>
      </w:r>
      <w:r w:rsidRPr="000F15B9">
        <w:rPr>
          <w:rFonts w:ascii="Times New Roman" w:eastAsia="宋体" w:hAnsi="Times New Roman" w:cs="Times New Roman"/>
          <w:sz w:val="28"/>
        </w:rPr>
        <w:t>）</w:t>
      </w:r>
      <w:r w:rsidRPr="000F15B9">
        <w:rPr>
          <w:rFonts w:ascii="Times New Roman" w:eastAsia="宋体" w:hAnsi="Times New Roman" w:cs="Times New Roman"/>
          <w:color w:val="000000"/>
          <w:sz w:val="28"/>
        </w:rPr>
        <w:t>原地块</w:t>
      </w:r>
      <w:r w:rsidRPr="000F15B9">
        <w:rPr>
          <w:rFonts w:ascii="Times New Roman" w:eastAsia="宋体" w:hAnsi="Times New Roman" w:cs="Times New Roman"/>
          <w:sz w:val="28"/>
        </w:rPr>
        <w:t>土壤和地下水环境质量状况的调查，其目的是了解该区域场地环境质量状况，判断其环境质量是否满足国家有关质量标准，为该地块土地可持续利用提供土壤及地下水质量方面的基础数据。</w:t>
      </w:r>
      <w:r w:rsidRPr="000F15B9">
        <w:rPr>
          <w:rFonts w:ascii="Times New Roman" w:eastAsia="宋体" w:hAnsi="Times New Roman" w:cs="Times New Roman"/>
          <w:sz w:val="28"/>
        </w:rPr>
        <w:t>2018</w:t>
      </w:r>
      <w:r w:rsidRPr="000F15B9">
        <w:rPr>
          <w:rFonts w:ascii="Times New Roman" w:eastAsia="宋体" w:hAnsi="Times New Roman" w:cs="Times New Roman"/>
          <w:sz w:val="28"/>
        </w:rPr>
        <w:t>年</w:t>
      </w:r>
      <w:r w:rsidRPr="000F15B9">
        <w:rPr>
          <w:rFonts w:ascii="Times New Roman" w:eastAsia="宋体" w:hAnsi="Times New Roman" w:cs="Times New Roman"/>
          <w:sz w:val="28"/>
        </w:rPr>
        <w:t>6</w:t>
      </w:r>
      <w:r w:rsidRPr="000F15B9">
        <w:rPr>
          <w:rFonts w:ascii="Times New Roman" w:eastAsia="宋体" w:hAnsi="Times New Roman" w:cs="Times New Roman"/>
          <w:sz w:val="28"/>
        </w:rPr>
        <w:t>月，常州华狮化工有限公司委托江苏长三角环境科学技术研究院有限公司（以下简称</w:t>
      </w:r>
      <w:r w:rsidRPr="000F15B9">
        <w:rPr>
          <w:rFonts w:ascii="Times New Roman" w:eastAsia="宋体" w:hAnsi="Times New Roman" w:cs="Times New Roman"/>
          <w:sz w:val="28"/>
        </w:rPr>
        <w:t>“</w:t>
      </w:r>
      <w:r w:rsidRPr="000F15B9">
        <w:rPr>
          <w:rFonts w:ascii="Times New Roman" w:eastAsia="宋体" w:hAnsi="Times New Roman" w:cs="Times New Roman"/>
          <w:sz w:val="28"/>
        </w:rPr>
        <w:t>长三角研究院</w:t>
      </w:r>
      <w:r w:rsidRPr="000F15B9">
        <w:rPr>
          <w:rFonts w:ascii="Times New Roman" w:eastAsia="宋体" w:hAnsi="Times New Roman" w:cs="Times New Roman"/>
          <w:sz w:val="28"/>
        </w:rPr>
        <w:t>”</w:t>
      </w:r>
      <w:r w:rsidRPr="000F15B9">
        <w:rPr>
          <w:rFonts w:ascii="Times New Roman" w:eastAsia="宋体" w:hAnsi="Times New Roman" w:cs="Times New Roman"/>
          <w:sz w:val="28"/>
        </w:rPr>
        <w:t>）对该场地进行场地调查及风险评估。</w:t>
      </w:r>
    </w:p>
    <w:p w:rsidR="000F15B9" w:rsidRPr="000F15B9" w:rsidRDefault="000F15B9" w:rsidP="000F15B9">
      <w:pPr>
        <w:spacing w:line="360" w:lineRule="auto"/>
        <w:ind w:firstLineChars="200" w:firstLine="560"/>
        <w:rPr>
          <w:rFonts w:ascii="Times New Roman" w:eastAsia="宋体" w:hAnsi="Times New Roman" w:cs="Times New Roman"/>
          <w:sz w:val="28"/>
        </w:rPr>
      </w:pPr>
      <w:r w:rsidRPr="000F15B9">
        <w:rPr>
          <w:rFonts w:ascii="Times New Roman" w:eastAsia="宋体" w:hAnsi="Times New Roman" w:cs="Times New Roman"/>
          <w:sz w:val="28"/>
          <w:szCs w:val="28"/>
        </w:rPr>
        <w:t>本项目场地环境调查工作按照我国《场地环境调查技术导则》（</w:t>
      </w:r>
      <w:r w:rsidRPr="000F15B9">
        <w:rPr>
          <w:rFonts w:ascii="Times New Roman" w:eastAsia="宋体" w:hAnsi="Times New Roman" w:cs="Times New Roman"/>
          <w:sz w:val="28"/>
          <w:szCs w:val="28"/>
        </w:rPr>
        <w:t>HJ25.1-2014</w:t>
      </w:r>
      <w:r w:rsidRPr="000F15B9">
        <w:rPr>
          <w:rFonts w:ascii="Times New Roman" w:eastAsia="宋体" w:hAnsi="Times New Roman" w:cs="Times New Roman"/>
          <w:sz w:val="28"/>
          <w:szCs w:val="28"/>
        </w:rPr>
        <w:t>）、《建设用地土壤环境调查评估技术指南》（环境保护部公告</w:t>
      </w:r>
      <w:r w:rsidRPr="000F15B9">
        <w:rPr>
          <w:rFonts w:ascii="Times New Roman" w:eastAsia="宋体" w:hAnsi="Times New Roman" w:cs="Times New Roman"/>
          <w:sz w:val="28"/>
          <w:szCs w:val="28"/>
        </w:rPr>
        <w:t xml:space="preserve"> 2017</w:t>
      </w:r>
      <w:r w:rsidRPr="000F15B9">
        <w:rPr>
          <w:rFonts w:ascii="Times New Roman" w:eastAsia="宋体" w:hAnsi="Times New Roman" w:cs="Times New Roman"/>
          <w:sz w:val="28"/>
          <w:szCs w:val="28"/>
        </w:rPr>
        <w:t>年第</w:t>
      </w:r>
      <w:r w:rsidRPr="000F15B9">
        <w:rPr>
          <w:rFonts w:ascii="Times New Roman" w:eastAsia="宋体" w:hAnsi="Times New Roman" w:cs="Times New Roman"/>
          <w:sz w:val="28"/>
          <w:szCs w:val="28"/>
        </w:rPr>
        <w:t>72</w:t>
      </w:r>
      <w:r w:rsidRPr="000F15B9">
        <w:rPr>
          <w:rFonts w:ascii="Times New Roman" w:eastAsia="宋体" w:hAnsi="Times New Roman" w:cs="Times New Roman"/>
          <w:sz w:val="28"/>
          <w:szCs w:val="28"/>
        </w:rPr>
        <w:t>号）、《场地环境监测技术导则》（</w:t>
      </w:r>
      <w:r w:rsidRPr="000F15B9">
        <w:rPr>
          <w:rFonts w:ascii="Times New Roman" w:eastAsia="宋体" w:hAnsi="Times New Roman" w:cs="Times New Roman"/>
          <w:sz w:val="28"/>
          <w:szCs w:val="28"/>
        </w:rPr>
        <w:t>HJ25.2-2014</w:t>
      </w:r>
      <w:r w:rsidRPr="000F15B9">
        <w:rPr>
          <w:rFonts w:ascii="Times New Roman" w:eastAsia="宋体" w:hAnsi="Times New Roman" w:cs="Times New Roman"/>
          <w:sz w:val="28"/>
          <w:szCs w:val="28"/>
        </w:rPr>
        <w:t>）和</w:t>
      </w:r>
      <w:r w:rsidRPr="000F15B9">
        <w:rPr>
          <w:rFonts w:ascii="Times New Roman" w:eastAsia="宋体" w:hAnsi="Times New Roman" w:cs="Times New Roman"/>
          <w:sz w:val="28"/>
        </w:rPr>
        <w:t>《常州市场地环境调查评估技术指南（发布稿）》</w:t>
      </w:r>
      <w:r w:rsidRPr="000F15B9">
        <w:rPr>
          <w:rFonts w:ascii="Times New Roman" w:eastAsia="宋体" w:hAnsi="Times New Roman" w:cs="Times New Roman"/>
          <w:sz w:val="28"/>
          <w:szCs w:val="28"/>
        </w:rPr>
        <w:t>中规定的场地环境调查方法开展。长三角研究院于</w:t>
      </w:r>
      <w:r w:rsidRPr="000F15B9">
        <w:rPr>
          <w:rFonts w:ascii="Times New Roman" w:eastAsia="宋体" w:hAnsi="Times New Roman" w:cs="Times New Roman"/>
          <w:sz w:val="28"/>
          <w:szCs w:val="28"/>
        </w:rPr>
        <w:t>2018</w:t>
      </w:r>
      <w:r w:rsidRPr="000F15B9">
        <w:rPr>
          <w:rFonts w:ascii="Times New Roman" w:eastAsia="宋体" w:hAnsi="Times New Roman" w:cs="Times New Roman"/>
          <w:sz w:val="28"/>
          <w:szCs w:val="28"/>
        </w:rPr>
        <w:t>年</w:t>
      </w:r>
      <w:r w:rsidRPr="000F15B9">
        <w:rPr>
          <w:rFonts w:ascii="Times New Roman" w:eastAsia="宋体" w:hAnsi="Times New Roman" w:cs="Times New Roman"/>
          <w:sz w:val="28"/>
          <w:szCs w:val="28"/>
        </w:rPr>
        <w:t>6</w:t>
      </w:r>
      <w:r w:rsidRPr="000F15B9">
        <w:rPr>
          <w:rFonts w:ascii="Times New Roman" w:eastAsia="宋体" w:hAnsi="Times New Roman" w:cs="Times New Roman"/>
          <w:sz w:val="28"/>
          <w:szCs w:val="28"/>
        </w:rPr>
        <w:t>月组织人员进行了现场踏勘、人员访谈和资料收集。本次调查场地为常州爱匹克斯化工研究所有限公司</w:t>
      </w:r>
      <w:r w:rsidRPr="000F15B9">
        <w:rPr>
          <w:rFonts w:ascii="Times New Roman" w:eastAsia="宋体" w:hAnsi="Times New Roman" w:cs="Times New Roman"/>
          <w:color w:val="000000"/>
          <w:sz w:val="28"/>
          <w:szCs w:val="28"/>
        </w:rPr>
        <w:t>原地块</w:t>
      </w:r>
      <w:r w:rsidRPr="000F15B9">
        <w:rPr>
          <w:rFonts w:ascii="Times New Roman" w:eastAsia="宋体" w:hAnsi="Times New Roman" w:cs="Times New Roman"/>
          <w:sz w:val="28"/>
          <w:szCs w:val="28"/>
        </w:rPr>
        <w:t>，该地块位于江苏省常州市新北区春江镇滨江经济开发区化学工业园内。场地占地总面积约为</w:t>
      </w:r>
      <w:r w:rsidRPr="000F15B9">
        <w:rPr>
          <w:rFonts w:ascii="Times New Roman" w:eastAsia="宋体" w:hAnsi="Times New Roman" w:cs="Times New Roman"/>
          <w:sz w:val="28"/>
          <w:szCs w:val="28"/>
        </w:rPr>
        <w:t>22</w:t>
      </w:r>
      <w:r w:rsidRPr="000F15B9">
        <w:rPr>
          <w:rFonts w:ascii="Times New Roman" w:eastAsia="宋体" w:hAnsi="Times New Roman" w:cs="Times New Roman"/>
          <w:sz w:val="28"/>
          <w:szCs w:val="28"/>
        </w:rPr>
        <w:t>亩。根据前期人员踏勘，该企业主要从事化工医药中间体生产，地块内原厂房、设备均已拆除，</w:t>
      </w:r>
      <w:r w:rsidRPr="000F15B9">
        <w:rPr>
          <w:rFonts w:ascii="Times New Roman" w:eastAsia="宋体" w:hAnsi="Times New Roman" w:cs="Times New Roman"/>
          <w:sz w:val="28"/>
        </w:rPr>
        <w:t>长三角研究院第一阶段场地环境调查时场地上有临时搭建的活动板房，在第二阶段场地环境调查时活动板房均已拆除</w:t>
      </w:r>
      <w:r w:rsidRPr="000F15B9">
        <w:rPr>
          <w:rFonts w:ascii="Times New Roman" w:eastAsia="宋体" w:hAnsi="Times New Roman" w:cs="Times New Roman"/>
          <w:sz w:val="28"/>
          <w:szCs w:val="28"/>
        </w:rPr>
        <w:t>。该场地未来用地规划为工业用地。</w:t>
      </w:r>
    </w:p>
    <w:p w:rsidR="000F15B9" w:rsidRPr="000F15B9" w:rsidRDefault="000F15B9" w:rsidP="000F15B9">
      <w:pPr>
        <w:spacing w:line="360" w:lineRule="auto"/>
        <w:ind w:firstLineChars="200" w:firstLine="560"/>
        <w:rPr>
          <w:rFonts w:ascii="Times New Roman" w:eastAsia="宋体" w:hAnsi="Times New Roman" w:cs="Times New Roman"/>
          <w:sz w:val="28"/>
        </w:rPr>
      </w:pPr>
      <w:r w:rsidRPr="000F15B9">
        <w:rPr>
          <w:rFonts w:ascii="Times New Roman" w:eastAsia="宋体" w:hAnsi="Times New Roman" w:cs="Times New Roman"/>
          <w:sz w:val="28"/>
        </w:rPr>
        <w:lastRenderedPageBreak/>
        <w:t>根据现场踏勘、人员访谈和资料查阅，并结合卫星地图和原厂区平面布置图，采用系统布点法进行布点监测。场地内共布设</w:t>
      </w:r>
      <w:r w:rsidRPr="000F15B9">
        <w:rPr>
          <w:rFonts w:ascii="Times New Roman" w:eastAsia="宋体" w:hAnsi="Times New Roman" w:cs="Times New Roman"/>
          <w:sz w:val="28"/>
        </w:rPr>
        <w:t>20</w:t>
      </w:r>
      <w:r w:rsidRPr="000F15B9">
        <w:rPr>
          <w:rFonts w:ascii="Times New Roman" w:eastAsia="宋体" w:hAnsi="Times New Roman" w:cs="Times New Roman"/>
          <w:sz w:val="28"/>
        </w:rPr>
        <w:t>个土壤采样点，</w:t>
      </w:r>
      <w:r w:rsidRPr="000F15B9">
        <w:rPr>
          <w:rFonts w:ascii="Times New Roman" w:eastAsia="宋体" w:hAnsi="Times New Roman" w:cs="Times New Roman"/>
          <w:sz w:val="28"/>
        </w:rPr>
        <w:t>6</w:t>
      </w:r>
      <w:r w:rsidRPr="000F15B9">
        <w:rPr>
          <w:rFonts w:ascii="Times New Roman" w:eastAsia="宋体" w:hAnsi="Times New Roman" w:cs="Times New Roman"/>
          <w:sz w:val="28"/>
        </w:rPr>
        <w:t>口潜水层地下水监测井，</w:t>
      </w:r>
      <w:r w:rsidRPr="000F15B9">
        <w:rPr>
          <w:rFonts w:ascii="Times New Roman" w:eastAsia="宋体" w:hAnsi="Times New Roman" w:cs="Times New Roman"/>
          <w:sz w:val="28"/>
        </w:rPr>
        <w:t>7</w:t>
      </w:r>
      <w:r w:rsidRPr="000F15B9">
        <w:rPr>
          <w:rFonts w:ascii="Times New Roman" w:eastAsia="宋体" w:hAnsi="Times New Roman" w:cs="Times New Roman"/>
          <w:sz w:val="28"/>
        </w:rPr>
        <w:t>口浅层承压含水层地下水监测井和</w:t>
      </w:r>
      <w:r w:rsidRPr="000F15B9">
        <w:rPr>
          <w:rFonts w:ascii="Times New Roman" w:eastAsia="宋体" w:hAnsi="Times New Roman" w:cs="Times New Roman"/>
          <w:sz w:val="28"/>
        </w:rPr>
        <w:t>1</w:t>
      </w:r>
      <w:r w:rsidRPr="000F15B9">
        <w:rPr>
          <w:rFonts w:ascii="Times New Roman" w:eastAsia="宋体" w:hAnsi="Times New Roman" w:cs="Times New Roman"/>
          <w:sz w:val="28"/>
        </w:rPr>
        <w:t>口</w:t>
      </w:r>
      <w:r w:rsidRPr="000F15B9">
        <w:rPr>
          <w:rFonts w:ascii="Times New Roman" w:eastAsia="宋体" w:hAnsi="Times New Roman" w:cs="Times New Roman"/>
          <w:sz w:val="28"/>
        </w:rPr>
        <w:t>6m</w:t>
      </w:r>
      <w:r w:rsidRPr="000F15B9">
        <w:rPr>
          <w:rFonts w:ascii="Times New Roman" w:eastAsia="宋体" w:hAnsi="Times New Roman" w:cs="Times New Roman"/>
          <w:sz w:val="28"/>
        </w:rPr>
        <w:t>深地下水监测井。在场地外布设</w:t>
      </w:r>
      <w:r w:rsidRPr="000F15B9">
        <w:rPr>
          <w:rFonts w:ascii="Times New Roman" w:eastAsia="宋体" w:hAnsi="Times New Roman" w:cs="Times New Roman"/>
          <w:sz w:val="28"/>
        </w:rPr>
        <w:t>1</w:t>
      </w:r>
      <w:r w:rsidRPr="000F15B9">
        <w:rPr>
          <w:rFonts w:ascii="Times New Roman" w:eastAsia="宋体" w:hAnsi="Times New Roman" w:cs="Times New Roman"/>
          <w:sz w:val="28"/>
        </w:rPr>
        <w:t>个土壤采样点和</w:t>
      </w:r>
      <w:r w:rsidRPr="000F15B9">
        <w:rPr>
          <w:rFonts w:ascii="Times New Roman" w:eastAsia="宋体" w:hAnsi="Times New Roman" w:cs="Times New Roman"/>
          <w:sz w:val="28"/>
        </w:rPr>
        <w:t>1</w:t>
      </w:r>
      <w:r w:rsidRPr="000F15B9">
        <w:rPr>
          <w:rFonts w:ascii="Times New Roman" w:eastAsia="宋体" w:hAnsi="Times New Roman" w:cs="Times New Roman"/>
          <w:sz w:val="28"/>
        </w:rPr>
        <w:t>口地下水监测井作为对照点。考虑到化工厂可能产生的污染，结合环评资料中的生产工艺和原辅材料，本次场地调查分析检测项目包括</w:t>
      </w:r>
      <w:r w:rsidRPr="000F15B9">
        <w:rPr>
          <w:rFonts w:ascii="Times New Roman" w:eastAsia="宋体" w:hAnsi="Times New Roman" w:cs="Times New Roman"/>
          <w:sz w:val="28"/>
        </w:rPr>
        <w:t>pH</w:t>
      </w:r>
      <w:r w:rsidRPr="000F15B9">
        <w:rPr>
          <w:rFonts w:ascii="Times New Roman" w:eastAsia="宋体" w:hAnsi="Times New Roman" w:cs="Times New Roman"/>
          <w:sz w:val="28"/>
        </w:rPr>
        <w:t>、重金属（</w:t>
      </w:r>
      <w:r w:rsidRPr="000F15B9">
        <w:rPr>
          <w:rFonts w:ascii="Times New Roman" w:eastAsia="宋体" w:hAnsi="Times New Roman" w:cs="Times New Roman"/>
          <w:sz w:val="28"/>
          <w:szCs w:val="28"/>
        </w:rPr>
        <w:t>锑、砷、铍、镉、总铬、钴、汞、铜、镍、铅、钒、锌</w:t>
      </w:r>
      <w:r w:rsidRPr="000F15B9">
        <w:rPr>
          <w:rFonts w:ascii="Times New Roman" w:eastAsia="宋体" w:hAnsi="Times New Roman" w:cs="Times New Roman"/>
          <w:sz w:val="28"/>
        </w:rPr>
        <w:t>）、挥发性有机物（</w:t>
      </w:r>
      <w:r w:rsidRPr="000F15B9">
        <w:rPr>
          <w:rFonts w:ascii="Times New Roman" w:eastAsia="宋体" w:hAnsi="Times New Roman" w:cs="Times New Roman"/>
          <w:sz w:val="28"/>
        </w:rPr>
        <w:t>VOCs</w:t>
      </w:r>
      <w:r w:rsidRPr="000F15B9">
        <w:rPr>
          <w:rFonts w:ascii="Times New Roman" w:eastAsia="宋体" w:hAnsi="Times New Roman" w:cs="Times New Roman"/>
          <w:sz w:val="28"/>
        </w:rPr>
        <w:t>）、半挥发性有机物（</w:t>
      </w:r>
      <w:r w:rsidRPr="000F15B9">
        <w:rPr>
          <w:rFonts w:ascii="Times New Roman" w:eastAsia="宋体" w:hAnsi="Times New Roman" w:cs="Times New Roman"/>
          <w:sz w:val="28"/>
        </w:rPr>
        <w:t>SVOCs</w:t>
      </w:r>
      <w:r w:rsidRPr="000F15B9">
        <w:rPr>
          <w:rFonts w:ascii="Times New Roman" w:eastAsia="宋体" w:hAnsi="Times New Roman" w:cs="Times New Roman"/>
          <w:sz w:val="28"/>
        </w:rPr>
        <w:t>）、总石油烃、氟化物和理化参数等。</w:t>
      </w:r>
    </w:p>
    <w:p w:rsidR="000F15B9" w:rsidRPr="000F15B9" w:rsidRDefault="000F15B9" w:rsidP="000F15B9">
      <w:pPr>
        <w:spacing w:line="360" w:lineRule="auto"/>
        <w:ind w:firstLineChars="200" w:firstLine="560"/>
        <w:rPr>
          <w:rFonts w:ascii="Times New Roman" w:eastAsia="宋体" w:hAnsi="Times New Roman" w:cs="Times New Roman"/>
          <w:sz w:val="28"/>
        </w:rPr>
      </w:pPr>
      <w:r w:rsidRPr="000F15B9">
        <w:rPr>
          <w:rFonts w:ascii="Times New Roman" w:eastAsia="宋体" w:hAnsi="Times New Roman" w:cs="Times New Roman"/>
          <w:sz w:val="28"/>
        </w:rPr>
        <w:t>根据检测结果，</w:t>
      </w:r>
      <w:r w:rsidRPr="000F15B9">
        <w:rPr>
          <w:rFonts w:ascii="Times New Roman" w:eastAsia="宋体" w:hAnsi="Times New Roman" w:cs="Times New Roman" w:hint="eastAsia"/>
          <w:sz w:val="28"/>
        </w:rPr>
        <w:t>1,2-</w:t>
      </w:r>
      <w:r w:rsidRPr="000F15B9">
        <w:rPr>
          <w:rFonts w:ascii="Times New Roman" w:eastAsia="宋体" w:hAnsi="Times New Roman" w:cs="Times New Roman" w:hint="eastAsia"/>
          <w:sz w:val="28"/>
        </w:rPr>
        <w:t>二氯乙烷在土壤点位</w:t>
      </w:r>
      <w:r w:rsidRPr="000F15B9">
        <w:rPr>
          <w:rFonts w:ascii="Times New Roman" w:eastAsia="宋体" w:hAnsi="Times New Roman" w:cs="Times New Roman" w:hint="eastAsia"/>
          <w:sz w:val="28"/>
        </w:rPr>
        <w:t>SB-2-1.5m</w:t>
      </w:r>
      <w:r w:rsidRPr="000F15B9">
        <w:rPr>
          <w:rFonts w:ascii="Times New Roman" w:eastAsia="宋体" w:hAnsi="Times New Roman" w:cs="Times New Roman" w:hint="eastAsia"/>
          <w:sz w:val="28"/>
        </w:rPr>
        <w:t>超过《展览会用地土壤环境质量评价标准（暂行）》（</w:t>
      </w:r>
      <w:r w:rsidRPr="000F15B9">
        <w:rPr>
          <w:rFonts w:ascii="Times New Roman" w:eastAsia="宋体" w:hAnsi="Times New Roman" w:cs="Times New Roman" w:hint="eastAsia"/>
          <w:sz w:val="28"/>
        </w:rPr>
        <w:t>HJ350-2007</w:t>
      </w:r>
      <w:r w:rsidRPr="000F15B9">
        <w:rPr>
          <w:rFonts w:ascii="Times New Roman" w:eastAsia="宋体" w:hAnsi="Times New Roman" w:cs="Times New Roman" w:hint="eastAsia"/>
          <w:sz w:val="28"/>
        </w:rPr>
        <w:t>）（以下简称“展会标准”）中的</w:t>
      </w:r>
      <w:r w:rsidRPr="000F15B9">
        <w:rPr>
          <w:rFonts w:ascii="Times New Roman" w:eastAsia="宋体" w:hAnsi="Times New Roman" w:cs="Times New Roman" w:hint="eastAsia"/>
          <w:sz w:val="28"/>
        </w:rPr>
        <w:t>B</w:t>
      </w:r>
      <w:r w:rsidRPr="000F15B9">
        <w:rPr>
          <w:rFonts w:ascii="Times New Roman" w:eastAsia="宋体" w:hAnsi="Times New Roman" w:cs="Times New Roman" w:hint="eastAsia"/>
          <w:sz w:val="28"/>
        </w:rPr>
        <w:t>级标准值。地下水中的锑、钴、总石油烃、苯并</w:t>
      </w:r>
      <w:r w:rsidRPr="000F15B9">
        <w:rPr>
          <w:rFonts w:ascii="Times New Roman" w:eastAsia="宋体" w:hAnsi="Times New Roman" w:cs="Times New Roman" w:hint="eastAsia"/>
          <w:sz w:val="28"/>
        </w:rPr>
        <w:t>[a]</w:t>
      </w:r>
      <w:r w:rsidRPr="000F15B9">
        <w:rPr>
          <w:rFonts w:ascii="Times New Roman" w:eastAsia="宋体" w:hAnsi="Times New Roman" w:cs="Times New Roman" w:hint="eastAsia"/>
          <w:sz w:val="28"/>
        </w:rPr>
        <w:t>蒽、</w:t>
      </w:r>
      <w:r w:rsidRPr="000F15B9">
        <w:rPr>
          <w:rFonts w:ascii="Times New Roman" w:eastAsia="宋体" w:hAnsi="Times New Roman" w:cs="Times New Roman" w:hint="eastAsia"/>
          <w:sz w:val="28"/>
        </w:rPr>
        <w:t>3-</w:t>
      </w:r>
      <w:r w:rsidRPr="000F15B9">
        <w:rPr>
          <w:rFonts w:ascii="Times New Roman" w:eastAsia="宋体" w:hAnsi="Times New Roman" w:cs="Times New Roman" w:hint="eastAsia"/>
          <w:sz w:val="28"/>
        </w:rPr>
        <w:t>甲基苯酚</w:t>
      </w:r>
      <w:r w:rsidRPr="000F15B9">
        <w:rPr>
          <w:rFonts w:ascii="Times New Roman" w:eastAsia="宋体" w:hAnsi="Times New Roman" w:cs="Times New Roman" w:hint="eastAsia"/>
          <w:sz w:val="28"/>
        </w:rPr>
        <w:t>&amp;4-</w:t>
      </w:r>
      <w:r w:rsidRPr="000F15B9">
        <w:rPr>
          <w:rFonts w:ascii="Times New Roman" w:eastAsia="宋体" w:hAnsi="Times New Roman" w:cs="Times New Roman" w:hint="eastAsia"/>
          <w:sz w:val="28"/>
        </w:rPr>
        <w:t>甲基苯酚、萘、</w:t>
      </w:r>
      <w:r w:rsidRPr="000F15B9">
        <w:rPr>
          <w:rFonts w:ascii="Times New Roman" w:eastAsia="宋体" w:hAnsi="Times New Roman" w:cs="Times New Roman" w:hint="eastAsia"/>
          <w:sz w:val="28"/>
        </w:rPr>
        <w:t>1,1,2-</w:t>
      </w:r>
      <w:r w:rsidRPr="000F15B9">
        <w:rPr>
          <w:rFonts w:ascii="Times New Roman" w:eastAsia="宋体" w:hAnsi="Times New Roman" w:cs="Times New Roman" w:hint="eastAsia"/>
          <w:sz w:val="28"/>
        </w:rPr>
        <w:t>三氯乙烷、四氯化碳、</w:t>
      </w:r>
      <w:r w:rsidRPr="000F15B9">
        <w:rPr>
          <w:rFonts w:ascii="Times New Roman" w:eastAsia="宋体" w:hAnsi="Times New Roman" w:cs="Times New Roman" w:hint="eastAsia"/>
          <w:sz w:val="28"/>
        </w:rPr>
        <w:t>1,2-</w:t>
      </w:r>
      <w:r w:rsidRPr="000F15B9">
        <w:rPr>
          <w:rFonts w:ascii="Times New Roman" w:eastAsia="宋体" w:hAnsi="Times New Roman" w:cs="Times New Roman" w:hint="eastAsia"/>
          <w:sz w:val="28"/>
        </w:rPr>
        <w:t>二氯乙烷、三氯甲烷、二氯甲烷、甲苯和苯超过</w:t>
      </w:r>
      <w:r w:rsidRPr="000F15B9">
        <w:rPr>
          <w:rFonts w:ascii="Times New Roman" w:eastAsia="宋体" w:hAnsi="Times New Roman" w:cs="Times New Roman"/>
          <w:sz w:val="28"/>
        </w:rPr>
        <w:t>《地下水质量标准》（</w:t>
      </w:r>
      <w:r w:rsidRPr="000F15B9">
        <w:rPr>
          <w:rFonts w:ascii="Times New Roman" w:eastAsia="宋体" w:hAnsi="Times New Roman" w:cs="Times New Roman"/>
          <w:sz w:val="28"/>
        </w:rPr>
        <w:t>GB/T14848-2017</w:t>
      </w:r>
      <w:r w:rsidRPr="000F15B9">
        <w:rPr>
          <w:rFonts w:ascii="Times New Roman" w:eastAsia="宋体" w:hAnsi="Times New Roman" w:cs="Times New Roman"/>
          <w:sz w:val="28"/>
        </w:rPr>
        <w:t>）</w:t>
      </w:r>
      <w:r w:rsidRPr="000F15B9">
        <w:rPr>
          <w:rFonts w:ascii="Times New Roman" w:eastAsia="宋体" w:hAnsi="Times New Roman" w:cs="Times New Roman"/>
          <w:sz w:val="28"/>
        </w:rPr>
        <w:t>IV</w:t>
      </w:r>
      <w:r w:rsidRPr="000F15B9">
        <w:rPr>
          <w:rFonts w:ascii="Times New Roman" w:eastAsia="宋体" w:hAnsi="Times New Roman" w:cs="Times New Roman"/>
          <w:sz w:val="28"/>
        </w:rPr>
        <w:t>类标准</w:t>
      </w:r>
      <w:r w:rsidRPr="000F15B9">
        <w:rPr>
          <w:rFonts w:ascii="Times New Roman" w:eastAsia="宋体" w:hAnsi="Times New Roman" w:cs="Times New Roman" w:hint="eastAsia"/>
          <w:sz w:val="28"/>
        </w:rPr>
        <w:t>。</w:t>
      </w:r>
    </w:p>
    <w:p w:rsidR="000F15B9" w:rsidRPr="000F15B9" w:rsidRDefault="000F15B9" w:rsidP="000F15B9">
      <w:pPr>
        <w:spacing w:line="360" w:lineRule="auto"/>
        <w:ind w:firstLineChars="200" w:firstLine="560"/>
        <w:rPr>
          <w:rFonts w:ascii="Times New Roman" w:eastAsia="宋体" w:hAnsi="Times New Roman" w:cs="Times New Roman"/>
          <w:sz w:val="28"/>
        </w:rPr>
      </w:pPr>
      <w:r w:rsidRPr="000F15B9">
        <w:rPr>
          <w:rFonts w:ascii="Times New Roman" w:eastAsia="宋体" w:hAnsi="Times New Roman" w:cs="Times New Roman"/>
          <w:sz w:val="28"/>
        </w:rPr>
        <w:t>通过</w:t>
      </w:r>
      <w:r w:rsidRPr="000F15B9">
        <w:rPr>
          <w:rFonts w:ascii="Times New Roman" w:eastAsia="宋体" w:hAnsi="Times New Roman" w:cs="Times New Roman" w:hint="eastAsia"/>
          <w:sz w:val="28"/>
        </w:rPr>
        <w:t>人体</w:t>
      </w:r>
      <w:r w:rsidRPr="000F15B9">
        <w:rPr>
          <w:rFonts w:ascii="Times New Roman" w:eastAsia="宋体" w:hAnsi="Times New Roman" w:cs="Times New Roman"/>
          <w:sz w:val="28"/>
        </w:rPr>
        <w:t>健康风险评估，土壤中</w:t>
      </w:r>
      <w:r w:rsidRPr="000F15B9">
        <w:rPr>
          <w:rFonts w:ascii="Times New Roman" w:eastAsia="宋体" w:hAnsi="Times New Roman" w:cs="Times New Roman"/>
          <w:sz w:val="28"/>
        </w:rPr>
        <w:t>1,2-</w:t>
      </w:r>
      <w:r w:rsidRPr="000F15B9">
        <w:rPr>
          <w:rFonts w:ascii="Times New Roman" w:eastAsia="宋体" w:hAnsi="Times New Roman" w:cs="Times New Roman"/>
          <w:sz w:val="28"/>
        </w:rPr>
        <w:t>二氯乙烷对人体健康风险不接受</w:t>
      </w:r>
      <w:r w:rsidRPr="000F15B9">
        <w:rPr>
          <w:rFonts w:ascii="Times New Roman" w:eastAsia="宋体" w:hAnsi="Times New Roman" w:cs="Times New Roman" w:hint="eastAsia"/>
          <w:sz w:val="28"/>
        </w:rPr>
        <w:t>；</w:t>
      </w:r>
      <w:r w:rsidRPr="000F15B9">
        <w:rPr>
          <w:rFonts w:ascii="Times New Roman" w:eastAsia="宋体" w:hAnsi="Times New Roman" w:cs="Times New Roman"/>
          <w:color w:val="000000"/>
          <w:sz w:val="28"/>
        </w:rPr>
        <w:t>由于点位</w:t>
      </w:r>
      <w:r w:rsidRPr="000F15B9">
        <w:rPr>
          <w:rFonts w:ascii="Times New Roman" w:eastAsia="宋体" w:hAnsi="Times New Roman" w:cs="Times New Roman"/>
          <w:color w:val="000000"/>
          <w:sz w:val="28"/>
        </w:rPr>
        <w:t>SB-2</w:t>
      </w:r>
      <w:r w:rsidRPr="000F15B9">
        <w:rPr>
          <w:rFonts w:ascii="Times New Roman" w:eastAsia="宋体" w:hAnsi="Times New Roman" w:cs="Times New Roman"/>
          <w:color w:val="000000"/>
          <w:sz w:val="28"/>
        </w:rPr>
        <w:t>检出</w:t>
      </w:r>
      <w:r w:rsidRPr="000F15B9">
        <w:rPr>
          <w:rFonts w:ascii="Times New Roman" w:eastAsia="宋体" w:hAnsi="Times New Roman" w:cs="Times New Roman"/>
          <w:color w:val="000000"/>
          <w:sz w:val="28"/>
        </w:rPr>
        <w:t>1,2-</w:t>
      </w:r>
      <w:r w:rsidRPr="000F15B9">
        <w:rPr>
          <w:rFonts w:ascii="Times New Roman" w:eastAsia="宋体" w:hAnsi="Times New Roman" w:cs="Times New Roman"/>
          <w:color w:val="000000"/>
          <w:sz w:val="28"/>
        </w:rPr>
        <w:t>二氯乙烷浓度超过</w:t>
      </w:r>
      <w:r w:rsidRPr="000F15B9">
        <w:rPr>
          <w:rFonts w:ascii="Times New Roman" w:eastAsia="宋体" w:hAnsi="Times New Roman" w:cs="Times New Roman" w:hint="eastAsia"/>
          <w:color w:val="000000"/>
          <w:sz w:val="28"/>
        </w:rPr>
        <w:t>展会用地</w:t>
      </w:r>
      <w:r w:rsidRPr="000F15B9">
        <w:rPr>
          <w:rFonts w:ascii="Times New Roman" w:eastAsia="宋体" w:hAnsi="Times New Roman" w:cs="Times New Roman"/>
          <w:color w:val="000000"/>
          <w:sz w:val="28"/>
        </w:rPr>
        <w:t>B</w:t>
      </w:r>
      <w:r w:rsidRPr="000F15B9">
        <w:rPr>
          <w:rFonts w:ascii="Times New Roman" w:eastAsia="宋体" w:hAnsi="Times New Roman" w:cs="Times New Roman"/>
          <w:color w:val="000000"/>
          <w:sz w:val="28"/>
        </w:rPr>
        <w:t>级标准值，因此</w:t>
      </w:r>
      <w:r w:rsidRPr="000F15B9">
        <w:rPr>
          <w:rFonts w:ascii="Times New Roman" w:eastAsia="宋体" w:hAnsi="Times New Roman" w:cs="Times New Roman"/>
          <w:color w:val="000000"/>
          <w:sz w:val="28"/>
        </w:rPr>
        <w:t>SB-2</w:t>
      </w:r>
      <w:r w:rsidRPr="000F15B9">
        <w:rPr>
          <w:rFonts w:ascii="Times New Roman" w:eastAsia="宋体" w:hAnsi="Times New Roman" w:cs="Times New Roman"/>
          <w:color w:val="000000"/>
          <w:sz w:val="28"/>
        </w:rPr>
        <w:t>土壤点必须进行风险管控或土壤修复。地下水中萘、</w:t>
      </w:r>
      <w:r w:rsidRPr="000F15B9">
        <w:rPr>
          <w:rFonts w:ascii="Times New Roman" w:eastAsia="宋体" w:hAnsi="Times New Roman" w:cs="Times New Roman"/>
          <w:color w:val="000000"/>
          <w:sz w:val="28"/>
        </w:rPr>
        <w:t>1,2-</w:t>
      </w:r>
      <w:r w:rsidRPr="000F15B9">
        <w:rPr>
          <w:rFonts w:ascii="Times New Roman" w:eastAsia="宋体" w:hAnsi="Times New Roman" w:cs="Times New Roman"/>
          <w:color w:val="000000"/>
          <w:sz w:val="28"/>
        </w:rPr>
        <w:t>二氯乙烷、二氯甲烷、三氯甲烷对人体健康风险不</w:t>
      </w:r>
      <w:r w:rsidRPr="000F15B9">
        <w:rPr>
          <w:rFonts w:ascii="Times New Roman" w:eastAsia="宋体" w:hAnsi="Times New Roman" w:cs="Times New Roman" w:hint="eastAsia"/>
          <w:color w:val="000000"/>
          <w:sz w:val="28"/>
        </w:rPr>
        <w:t>可</w:t>
      </w:r>
      <w:r w:rsidRPr="000F15B9">
        <w:rPr>
          <w:rFonts w:ascii="Times New Roman" w:eastAsia="宋体" w:hAnsi="Times New Roman" w:cs="Times New Roman"/>
          <w:color w:val="000000"/>
          <w:sz w:val="28"/>
        </w:rPr>
        <w:t>接受。</w:t>
      </w:r>
      <w:r w:rsidRPr="000F15B9">
        <w:rPr>
          <w:rFonts w:ascii="Times New Roman" w:eastAsia="宋体" w:hAnsi="Times New Roman" w:cs="Times New Roman"/>
          <w:sz w:val="28"/>
        </w:rPr>
        <w:t>而场地内总石油烃污染范围涵盖了所有地下水超标点位，而且浓度超标倍数大，根据《荷兰土壤与地下水修复干预值（</w:t>
      </w:r>
      <w:r w:rsidRPr="000F15B9">
        <w:rPr>
          <w:rFonts w:ascii="Times New Roman" w:eastAsia="宋体" w:hAnsi="Times New Roman" w:cs="Times New Roman"/>
          <w:sz w:val="28"/>
        </w:rPr>
        <w:t>DIV</w:t>
      </w:r>
      <w:r w:rsidRPr="000F15B9">
        <w:rPr>
          <w:rFonts w:ascii="Times New Roman" w:eastAsia="宋体" w:hAnsi="Times New Roman" w:cs="Times New Roman"/>
          <w:sz w:val="28"/>
        </w:rPr>
        <w:t>，</w:t>
      </w:r>
      <w:r w:rsidRPr="000F15B9">
        <w:rPr>
          <w:rFonts w:ascii="Times New Roman" w:eastAsia="宋体" w:hAnsi="Times New Roman" w:cs="Times New Roman"/>
          <w:sz w:val="28"/>
        </w:rPr>
        <w:t>2009</w:t>
      </w:r>
      <w:r w:rsidRPr="000F15B9">
        <w:rPr>
          <w:rFonts w:ascii="Times New Roman" w:eastAsia="宋体" w:hAnsi="Times New Roman" w:cs="Times New Roman"/>
          <w:sz w:val="28"/>
        </w:rPr>
        <w:t>）》干预值，需对其进行修复。</w:t>
      </w:r>
    </w:p>
    <w:p w:rsidR="00AC2228" w:rsidRPr="00180A16" w:rsidRDefault="000F15B9" w:rsidP="000F15B9">
      <w:pPr>
        <w:ind w:firstLine="420"/>
      </w:pPr>
      <w:r w:rsidRPr="000F15B9">
        <w:rPr>
          <w:rFonts w:ascii="Times New Roman" w:eastAsia="宋体" w:hAnsi="Times New Roman" w:cs="Times New Roman"/>
          <w:color w:val="000000"/>
          <w:sz w:val="28"/>
        </w:rPr>
        <w:lastRenderedPageBreak/>
        <w:t>爱匹克斯原地块土壤需要修复的目标因子为</w:t>
      </w:r>
      <w:r w:rsidRPr="000F15B9">
        <w:rPr>
          <w:rFonts w:ascii="Times New Roman" w:eastAsia="宋体" w:hAnsi="Times New Roman" w:cs="Times New Roman"/>
          <w:color w:val="000000"/>
          <w:sz w:val="28"/>
        </w:rPr>
        <w:t>1,2-</w:t>
      </w:r>
      <w:r w:rsidRPr="000F15B9">
        <w:rPr>
          <w:rFonts w:ascii="Times New Roman" w:eastAsia="宋体" w:hAnsi="Times New Roman" w:cs="Times New Roman"/>
          <w:color w:val="000000"/>
          <w:sz w:val="28"/>
        </w:rPr>
        <w:t>二氯乙烷，估计需要修复的面积为</w:t>
      </w:r>
      <w:r w:rsidRPr="000F15B9">
        <w:rPr>
          <w:rFonts w:ascii="Times New Roman" w:eastAsia="宋体" w:hAnsi="Times New Roman" w:cs="Times New Roman"/>
          <w:color w:val="000000"/>
          <w:sz w:val="28"/>
        </w:rPr>
        <w:t>538m</w:t>
      </w:r>
      <w:r w:rsidRPr="000F15B9">
        <w:rPr>
          <w:rFonts w:ascii="Times New Roman" w:eastAsia="宋体" w:hAnsi="Times New Roman" w:cs="Times New Roman"/>
          <w:color w:val="000000"/>
          <w:sz w:val="28"/>
          <w:vertAlign w:val="superscript"/>
        </w:rPr>
        <w:t>2</w:t>
      </w:r>
      <w:r w:rsidRPr="000F15B9">
        <w:rPr>
          <w:rFonts w:ascii="Times New Roman" w:eastAsia="宋体" w:hAnsi="Times New Roman" w:cs="Times New Roman"/>
          <w:color w:val="000000"/>
          <w:sz w:val="28"/>
        </w:rPr>
        <w:t>，体积为</w:t>
      </w:r>
      <w:r w:rsidRPr="000F15B9">
        <w:rPr>
          <w:rFonts w:ascii="Times New Roman" w:eastAsia="宋体" w:hAnsi="Times New Roman" w:cs="Times New Roman"/>
          <w:color w:val="000000"/>
          <w:sz w:val="28"/>
        </w:rPr>
        <w:t>807 m</w:t>
      </w:r>
      <w:r w:rsidRPr="000F15B9">
        <w:rPr>
          <w:rFonts w:ascii="Times New Roman" w:eastAsia="宋体" w:hAnsi="Times New Roman" w:cs="Times New Roman"/>
          <w:color w:val="000000"/>
          <w:sz w:val="28"/>
          <w:vertAlign w:val="superscript"/>
        </w:rPr>
        <w:t>3</w:t>
      </w:r>
      <w:r w:rsidRPr="000F15B9">
        <w:rPr>
          <w:rFonts w:ascii="Times New Roman" w:eastAsia="宋体" w:hAnsi="Times New Roman" w:cs="Times New Roman"/>
          <w:color w:val="000000"/>
          <w:sz w:val="28"/>
        </w:rPr>
        <w:t>。爱匹克斯原地块地下水需要修复的目标因子为总石油烃、萘、</w:t>
      </w:r>
      <w:r w:rsidRPr="000F15B9">
        <w:rPr>
          <w:rFonts w:ascii="Times New Roman" w:eastAsia="宋体" w:hAnsi="Times New Roman" w:cs="Times New Roman"/>
          <w:color w:val="000000"/>
          <w:sz w:val="28"/>
        </w:rPr>
        <w:t>1,2-</w:t>
      </w:r>
      <w:r w:rsidRPr="000F15B9">
        <w:rPr>
          <w:rFonts w:ascii="Times New Roman" w:eastAsia="宋体" w:hAnsi="Times New Roman" w:cs="Times New Roman"/>
          <w:color w:val="000000"/>
          <w:sz w:val="28"/>
        </w:rPr>
        <w:t>二氯乙烷、二氯甲烷、三氯甲烷，估算</w:t>
      </w:r>
      <w:r w:rsidRPr="000F15B9">
        <w:rPr>
          <w:rFonts w:ascii="Times New Roman" w:eastAsia="宋体" w:hAnsi="Times New Roman" w:cs="Times New Roman"/>
          <w:sz w:val="28"/>
        </w:rPr>
        <w:t>的潜水层地下水需要修复的面积为</w:t>
      </w:r>
      <w:r w:rsidRPr="000F15B9">
        <w:rPr>
          <w:rFonts w:ascii="Times New Roman" w:eastAsia="宋体" w:hAnsi="Times New Roman" w:cs="Times New Roman"/>
          <w:sz w:val="28"/>
        </w:rPr>
        <w:t>11054m</w:t>
      </w:r>
      <w:r w:rsidRPr="000F15B9">
        <w:rPr>
          <w:rFonts w:ascii="Times New Roman" w:eastAsia="宋体" w:hAnsi="Times New Roman" w:cs="Times New Roman"/>
          <w:sz w:val="28"/>
          <w:vertAlign w:val="superscript"/>
        </w:rPr>
        <w:t>2</w:t>
      </w:r>
      <w:r w:rsidRPr="000F15B9">
        <w:rPr>
          <w:rFonts w:ascii="Times New Roman" w:eastAsia="宋体" w:hAnsi="Times New Roman" w:cs="Times New Roman"/>
          <w:sz w:val="28"/>
        </w:rPr>
        <w:t>，体积为</w:t>
      </w:r>
      <w:r w:rsidRPr="000F15B9">
        <w:rPr>
          <w:rFonts w:ascii="Times New Roman" w:eastAsia="宋体" w:hAnsi="Times New Roman" w:cs="Times New Roman"/>
          <w:sz w:val="28"/>
        </w:rPr>
        <w:t>9451m</w:t>
      </w:r>
      <w:r w:rsidRPr="000F15B9">
        <w:rPr>
          <w:rFonts w:ascii="Times New Roman" w:eastAsia="宋体" w:hAnsi="Times New Roman" w:cs="Times New Roman"/>
          <w:sz w:val="28"/>
          <w:vertAlign w:val="superscript"/>
        </w:rPr>
        <w:t>3</w:t>
      </w:r>
      <w:r w:rsidRPr="000F15B9">
        <w:rPr>
          <w:rFonts w:ascii="Times New Roman" w:eastAsia="宋体" w:hAnsi="Times New Roman" w:cs="Times New Roman"/>
          <w:sz w:val="28"/>
        </w:rPr>
        <w:t>；浅层承压含水层地下水需要修复的面积为</w:t>
      </w:r>
      <w:r w:rsidRPr="000F15B9">
        <w:rPr>
          <w:rFonts w:ascii="Times New Roman" w:eastAsia="宋体" w:hAnsi="Times New Roman" w:cs="Times New Roman"/>
          <w:sz w:val="28"/>
        </w:rPr>
        <w:t>11054m</w:t>
      </w:r>
      <w:r w:rsidRPr="000F15B9">
        <w:rPr>
          <w:rFonts w:ascii="Times New Roman" w:eastAsia="宋体" w:hAnsi="Times New Roman" w:cs="Times New Roman"/>
          <w:sz w:val="28"/>
          <w:vertAlign w:val="superscript"/>
        </w:rPr>
        <w:t>2</w:t>
      </w:r>
      <w:r w:rsidRPr="000F15B9">
        <w:rPr>
          <w:rFonts w:ascii="Times New Roman" w:eastAsia="宋体" w:hAnsi="Times New Roman" w:cs="Times New Roman"/>
          <w:sz w:val="28"/>
        </w:rPr>
        <w:t>，体积为</w:t>
      </w:r>
      <w:r w:rsidRPr="000F15B9">
        <w:rPr>
          <w:rFonts w:ascii="Times New Roman" w:eastAsia="宋体" w:hAnsi="Times New Roman" w:cs="Times New Roman"/>
          <w:sz w:val="28"/>
        </w:rPr>
        <w:t xml:space="preserve"> 11341m</w:t>
      </w:r>
      <w:r w:rsidRPr="000F15B9">
        <w:rPr>
          <w:rFonts w:ascii="Times New Roman" w:eastAsia="宋体" w:hAnsi="Times New Roman" w:cs="Times New Roman"/>
          <w:sz w:val="28"/>
          <w:vertAlign w:val="superscript"/>
        </w:rPr>
        <w:t>3</w:t>
      </w:r>
      <w:r w:rsidRPr="000F15B9">
        <w:rPr>
          <w:rFonts w:ascii="Times New Roman" w:eastAsia="宋体" w:hAnsi="Times New Roman" w:cs="Times New Roman"/>
          <w:sz w:val="28"/>
        </w:rPr>
        <w:t>。</w:t>
      </w:r>
      <w:bookmarkStart w:id="0" w:name="_GoBack"/>
      <w:bookmarkEnd w:id="0"/>
    </w:p>
    <w:sectPr w:rsidR="00AC2228" w:rsidRPr="00180A16" w:rsidSect="003E41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2B7" w:rsidRDefault="009A52B7" w:rsidP="00340A19">
      <w:r>
        <w:separator/>
      </w:r>
    </w:p>
  </w:endnote>
  <w:endnote w:type="continuationSeparator" w:id="1">
    <w:p w:rsidR="009A52B7" w:rsidRDefault="009A52B7" w:rsidP="00340A1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2B7" w:rsidRDefault="009A52B7" w:rsidP="00340A19">
      <w:r>
        <w:separator/>
      </w:r>
    </w:p>
  </w:footnote>
  <w:footnote w:type="continuationSeparator" w:id="1">
    <w:p w:rsidR="009A52B7" w:rsidRDefault="009A52B7" w:rsidP="00340A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0A16"/>
    <w:rsid w:val="000F15B9"/>
    <w:rsid w:val="00180A16"/>
    <w:rsid w:val="00340A19"/>
    <w:rsid w:val="003E41B0"/>
    <w:rsid w:val="007E3919"/>
    <w:rsid w:val="009A52B7"/>
    <w:rsid w:val="009A707D"/>
    <w:rsid w:val="00AC2228"/>
    <w:rsid w:val="00EA7133"/>
    <w:rsid w:val="00FD74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1B0"/>
    <w:pPr>
      <w:widowControl w:val="0"/>
      <w:jc w:val="both"/>
    </w:pPr>
  </w:style>
  <w:style w:type="paragraph" w:styleId="1">
    <w:name w:val="heading 1"/>
    <w:basedOn w:val="a"/>
    <w:next w:val="a"/>
    <w:link w:val="1Char"/>
    <w:uiPriority w:val="9"/>
    <w:qFormat/>
    <w:rsid w:val="00EA7133"/>
    <w:pPr>
      <w:adjustRightInd w:val="0"/>
      <w:snapToGrid w:val="0"/>
      <w:spacing w:line="360" w:lineRule="auto"/>
      <w:outlineLvl w:val="0"/>
    </w:pPr>
    <w:rPr>
      <w:rFonts w:ascii="Times New Roman" w:eastAsia="宋体" w:hAnsi="Times New Roman" w:cs="Times New Roman"/>
      <w:b/>
      <w:sz w:val="36"/>
    </w:rPr>
  </w:style>
  <w:style w:type="paragraph" w:styleId="2">
    <w:name w:val="heading 2"/>
    <w:basedOn w:val="1"/>
    <w:next w:val="a"/>
    <w:link w:val="2Char"/>
    <w:uiPriority w:val="9"/>
    <w:unhideWhenUsed/>
    <w:qFormat/>
    <w:rsid w:val="00EA7133"/>
    <w:pPr>
      <w:outlineLvl w:val="1"/>
    </w:pPr>
    <w:rPr>
      <w:sz w:val="32"/>
    </w:rPr>
  </w:style>
  <w:style w:type="paragraph" w:styleId="3">
    <w:name w:val="heading 3"/>
    <w:basedOn w:val="a"/>
    <w:next w:val="a"/>
    <w:link w:val="3Char"/>
    <w:uiPriority w:val="9"/>
    <w:unhideWhenUsed/>
    <w:qFormat/>
    <w:rsid w:val="00EA7133"/>
    <w:pPr>
      <w:adjustRightInd w:val="0"/>
      <w:snapToGrid w:val="0"/>
      <w:spacing w:line="360" w:lineRule="auto"/>
      <w:outlineLvl w:val="2"/>
    </w:pPr>
    <w:rPr>
      <w:rFonts w:ascii="Times New Roman" w:eastAsia="宋体" w:hAnsi="Times New Roman"/>
      <w:b/>
      <w:bCs/>
      <w:sz w:val="30"/>
      <w:szCs w:val="32"/>
    </w:rPr>
  </w:style>
  <w:style w:type="paragraph" w:styleId="4">
    <w:name w:val="heading 4"/>
    <w:basedOn w:val="a"/>
    <w:next w:val="a"/>
    <w:link w:val="4Char"/>
    <w:uiPriority w:val="9"/>
    <w:unhideWhenUsed/>
    <w:qFormat/>
    <w:rsid w:val="00EA7133"/>
    <w:pPr>
      <w:adjustRightInd w:val="0"/>
      <w:snapToGrid w:val="0"/>
      <w:spacing w:line="360" w:lineRule="auto"/>
      <w:outlineLvl w:val="3"/>
    </w:pPr>
    <w:rPr>
      <w:rFonts w:ascii="Times New Roman" w:eastAsiaTheme="majorEastAsia" w:hAnsi="Times New Roman" w:cstheme="majorBidi"/>
      <w:b/>
      <w:bCs/>
      <w:sz w:val="28"/>
      <w:szCs w:val="28"/>
    </w:rPr>
  </w:style>
  <w:style w:type="paragraph" w:styleId="5">
    <w:name w:val="heading 5"/>
    <w:aliases w:val="图表标题"/>
    <w:basedOn w:val="a"/>
    <w:next w:val="a"/>
    <w:link w:val="5Char"/>
    <w:uiPriority w:val="9"/>
    <w:unhideWhenUsed/>
    <w:qFormat/>
    <w:rsid w:val="00EA7133"/>
    <w:pPr>
      <w:adjustRightInd w:val="0"/>
      <w:snapToGrid w:val="0"/>
      <w:spacing w:line="360" w:lineRule="auto"/>
      <w:jc w:val="center"/>
      <w:outlineLvl w:val="4"/>
    </w:pPr>
    <w:rPr>
      <w:rFonts w:ascii="Times New Roman" w:eastAsia="宋体" w:hAnsi="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7133"/>
    <w:rPr>
      <w:rFonts w:ascii="Times New Roman" w:eastAsia="宋体" w:hAnsi="Times New Roman" w:cs="Times New Roman"/>
      <w:b/>
      <w:sz w:val="36"/>
    </w:rPr>
  </w:style>
  <w:style w:type="character" w:customStyle="1" w:styleId="2Char">
    <w:name w:val="标题 2 Char"/>
    <w:basedOn w:val="a0"/>
    <w:link w:val="2"/>
    <w:uiPriority w:val="9"/>
    <w:rsid w:val="00EA7133"/>
    <w:rPr>
      <w:rFonts w:ascii="Times New Roman" w:eastAsia="宋体" w:hAnsi="Times New Roman" w:cs="Times New Roman"/>
      <w:b/>
      <w:sz w:val="32"/>
    </w:rPr>
  </w:style>
  <w:style w:type="character" w:customStyle="1" w:styleId="3Char">
    <w:name w:val="标题 3 Char"/>
    <w:basedOn w:val="a0"/>
    <w:link w:val="3"/>
    <w:uiPriority w:val="9"/>
    <w:rsid w:val="00EA7133"/>
    <w:rPr>
      <w:rFonts w:ascii="Times New Roman" w:eastAsia="宋体" w:hAnsi="Times New Roman"/>
      <w:b/>
      <w:bCs/>
      <w:sz w:val="30"/>
      <w:szCs w:val="32"/>
    </w:rPr>
  </w:style>
  <w:style w:type="character" w:customStyle="1" w:styleId="4Char">
    <w:name w:val="标题 4 Char"/>
    <w:basedOn w:val="a0"/>
    <w:link w:val="4"/>
    <w:uiPriority w:val="9"/>
    <w:rsid w:val="00EA7133"/>
    <w:rPr>
      <w:rFonts w:ascii="Times New Roman" w:eastAsiaTheme="majorEastAsia" w:hAnsi="Times New Roman" w:cstheme="majorBidi"/>
      <w:b/>
      <w:bCs/>
      <w:sz w:val="28"/>
      <w:szCs w:val="28"/>
    </w:rPr>
  </w:style>
  <w:style w:type="character" w:customStyle="1" w:styleId="5Char">
    <w:name w:val="标题 5 Char"/>
    <w:aliases w:val="图表标题 Char"/>
    <w:basedOn w:val="a0"/>
    <w:link w:val="5"/>
    <w:uiPriority w:val="9"/>
    <w:rsid w:val="00EA7133"/>
    <w:rPr>
      <w:rFonts w:ascii="Times New Roman" w:eastAsia="宋体" w:hAnsi="Times New Roman"/>
      <w:b/>
      <w:bCs/>
      <w:szCs w:val="28"/>
    </w:rPr>
  </w:style>
  <w:style w:type="paragraph" w:styleId="a3">
    <w:name w:val="No Spacing"/>
    <w:aliases w:val="表格"/>
    <w:link w:val="Char"/>
    <w:uiPriority w:val="1"/>
    <w:qFormat/>
    <w:rsid w:val="00EA7133"/>
    <w:pPr>
      <w:widowControl w:val="0"/>
      <w:adjustRightInd w:val="0"/>
      <w:snapToGrid w:val="0"/>
      <w:spacing w:line="320" w:lineRule="exact"/>
      <w:jc w:val="center"/>
    </w:pPr>
    <w:rPr>
      <w:rFonts w:ascii="Times New Roman" w:eastAsia="宋体" w:hAnsi="Times New Roman"/>
    </w:rPr>
  </w:style>
  <w:style w:type="character" w:customStyle="1" w:styleId="Char">
    <w:name w:val="无间隔 Char"/>
    <w:aliases w:val="表格 Char"/>
    <w:link w:val="a3"/>
    <w:uiPriority w:val="1"/>
    <w:rsid w:val="00EA7133"/>
    <w:rPr>
      <w:rFonts w:ascii="Times New Roman" w:eastAsia="宋体" w:hAnsi="Times New Roman"/>
    </w:rPr>
  </w:style>
  <w:style w:type="character" w:styleId="a4">
    <w:name w:val="Strong"/>
    <w:basedOn w:val="a0"/>
    <w:uiPriority w:val="22"/>
    <w:qFormat/>
    <w:rsid w:val="00180A16"/>
    <w:rPr>
      <w:b/>
      <w:bCs/>
    </w:rPr>
  </w:style>
  <w:style w:type="paragraph" w:styleId="a5">
    <w:name w:val="header"/>
    <w:basedOn w:val="a"/>
    <w:link w:val="Char0"/>
    <w:uiPriority w:val="99"/>
    <w:semiHidden/>
    <w:unhideWhenUsed/>
    <w:rsid w:val="00340A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40A19"/>
    <w:rPr>
      <w:sz w:val="18"/>
      <w:szCs w:val="18"/>
    </w:rPr>
  </w:style>
  <w:style w:type="paragraph" w:styleId="a6">
    <w:name w:val="footer"/>
    <w:basedOn w:val="a"/>
    <w:link w:val="Char1"/>
    <w:uiPriority w:val="99"/>
    <w:semiHidden/>
    <w:unhideWhenUsed/>
    <w:rsid w:val="00340A1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40A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A7133"/>
    <w:pPr>
      <w:adjustRightInd w:val="0"/>
      <w:snapToGrid w:val="0"/>
      <w:spacing w:line="360" w:lineRule="auto"/>
      <w:outlineLvl w:val="0"/>
    </w:pPr>
    <w:rPr>
      <w:rFonts w:ascii="Times New Roman" w:eastAsia="宋体" w:hAnsi="Times New Roman" w:cs="Times New Roman"/>
      <w:b/>
      <w:sz w:val="36"/>
    </w:rPr>
  </w:style>
  <w:style w:type="paragraph" w:styleId="2">
    <w:name w:val="heading 2"/>
    <w:basedOn w:val="1"/>
    <w:next w:val="a"/>
    <w:link w:val="2Char"/>
    <w:uiPriority w:val="9"/>
    <w:unhideWhenUsed/>
    <w:qFormat/>
    <w:rsid w:val="00EA7133"/>
    <w:pPr>
      <w:outlineLvl w:val="1"/>
    </w:pPr>
    <w:rPr>
      <w:sz w:val="32"/>
    </w:rPr>
  </w:style>
  <w:style w:type="paragraph" w:styleId="3">
    <w:name w:val="heading 3"/>
    <w:basedOn w:val="a"/>
    <w:next w:val="a"/>
    <w:link w:val="3Char"/>
    <w:uiPriority w:val="9"/>
    <w:unhideWhenUsed/>
    <w:qFormat/>
    <w:rsid w:val="00EA7133"/>
    <w:pPr>
      <w:adjustRightInd w:val="0"/>
      <w:snapToGrid w:val="0"/>
      <w:spacing w:line="360" w:lineRule="auto"/>
      <w:outlineLvl w:val="2"/>
    </w:pPr>
    <w:rPr>
      <w:rFonts w:ascii="Times New Roman" w:eastAsia="宋体" w:hAnsi="Times New Roman"/>
      <w:b/>
      <w:bCs/>
      <w:sz w:val="30"/>
      <w:szCs w:val="32"/>
    </w:rPr>
  </w:style>
  <w:style w:type="paragraph" w:styleId="4">
    <w:name w:val="heading 4"/>
    <w:basedOn w:val="a"/>
    <w:next w:val="a"/>
    <w:link w:val="4Char"/>
    <w:uiPriority w:val="9"/>
    <w:unhideWhenUsed/>
    <w:qFormat/>
    <w:rsid w:val="00EA7133"/>
    <w:pPr>
      <w:adjustRightInd w:val="0"/>
      <w:snapToGrid w:val="0"/>
      <w:spacing w:line="360" w:lineRule="auto"/>
      <w:outlineLvl w:val="3"/>
    </w:pPr>
    <w:rPr>
      <w:rFonts w:ascii="Times New Roman" w:eastAsiaTheme="majorEastAsia" w:hAnsi="Times New Roman" w:cstheme="majorBidi"/>
      <w:b/>
      <w:bCs/>
      <w:sz w:val="28"/>
      <w:szCs w:val="28"/>
    </w:rPr>
  </w:style>
  <w:style w:type="paragraph" w:styleId="5">
    <w:name w:val="heading 5"/>
    <w:aliases w:val="图表标题"/>
    <w:basedOn w:val="a"/>
    <w:next w:val="a"/>
    <w:link w:val="5Char"/>
    <w:uiPriority w:val="9"/>
    <w:unhideWhenUsed/>
    <w:qFormat/>
    <w:rsid w:val="00EA7133"/>
    <w:pPr>
      <w:adjustRightInd w:val="0"/>
      <w:snapToGrid w:val="0"/>
      <w:spacing w:line="360" w:lineRule="auto"/>
      <w:jc w:val="center"/>
      <w:outlineLvl w:val="4"/>
    </w:pPr>
    <w:rPr>
      <w:rFonts w:ascii="Times New Roman" w:eastAsia="宋体" w:hAnsi="Times New Roman"/>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7133"/>
    <w:rPr>
      <w:rFonts w:ascii="Times New Roman" w:eastAsia="宋体" w:hAnsi="Times New Roman" w:cs="Times New Roman"/>
      <w:b/>
      <w:sz w:val="36"/>
    </w:rPr>
  </w:style>
  <w:style w:type="character" w:customStyle="1" w:styleId="2Char">
    <w:name w:val="标题 2 Char"/>
    <w:basedOn w:val="a0"/>
    <w:link w:val="2"/>
    <w:uiPriority w:val="9"/>
    <w:rsid w:val="00EA7133"/>
    <w:rPr>
      <w:rFonts w:ascii="Times New Roman" w:eastAsia="宋体" w:hAnsi="Times New Roman" w:cs="Times New Roman"/>
      <w:b/>
      <w:sz w:val="32"/>
    </w:rPr>
  </w:style>
  <w:style w:type="character" w:customStyle="1" w:styleId="3Char">
    <w:name w:val="标题 3 Char"/>
    <w:basedOn w:val="a0"/>
    <w:link w:val="3"/>
    <w:uiPriority w:val="9"/>
    <w:rsid w:val="00EA7133"/>
    <w:rPr>
      <w:rFonts w:ascii="Times New Roman" w:eastAsia="宋体" w:hAnsi="Times New Roman"/>
      <w:b/>
      <w:bCs/>
      <w:sz w:val="30"/>
      <w:szCs w:val="32"/>
    </w:rPr>
  </w:style>
  <w:style w:type="character" w:customStyle="1" w:styleId="4Char">
    <w:name w:val="标题 4 Char"/>
    <w:basedOn w:val="a0"/>
    <w:link w:val="4"/>
    <w:uiPriority w:val="9"/>
    <w:rsid w:val="00EA7133"/>
    <w:rPr>
      <w:rFonts w:ascii="Times New Roman" w:eastAsiaTheme="majorEastAsia" w:hAnsi="Times New Roman" w:cstheme="majorBidi"/>
      <w:b/>
      <w:bCs/>
      <w:sz w:val="28"/>
      <w:szCs w:val="28"/>
    </w:rPr>
  </w:style>
  <w:style w:type="character" w:customStyle="1" w:styleId="5Char">
    <w:name w:val="标题 5 Char"/>
    <w:aliases w:val="图表标题 Char"/>
    <w:basedOn w:val="a0"/>
    <w:link w:val="5"/>
    <w:uiPriority w:val="9"/>
    <w:rsid w:val="00EA7133"/>
    <w:rPr>
      <w:rFonts w:ascii="Times New Roman" w:eastAsia="宋体" w:hAnsi="Times New Roman"/>
      <w:b/>
      <w:bCs/>
      <w:szCs w:val="28"/>
    </w:rPr>
  </w:style>
  <w:style w:type="paragraph" w:styleId="a3">
    <w:name w:val="No Spacing"/>
    <w:aliases w:val="表格"/>
    <w:link w:val="Char"/>
    <w:uiPriority w:val="1"/>
    <w:qFormat/>
    <w:rsid w:val="00EA7133"/>
    <w:pPr>
      <w:widowControl w:val="0"/>
      <w:adjustRightInd w:val="0"/>
      <w:snapToGrid w:val="0"/>
      <w:spacing w:line="320" w:lineRule="exact"/>
      <w:jc w:val="center"/>
    </w:pPr>
    <w:rPr>
      <w:rFonts w:ascii="Times New Roman" w:eastAsia="宋体" w:hAnsi="Times New Roman"/>
    </w:rPr>
  </w:style>
  <w:style w:type="character" w:customStyle="1" w:styleId="Char">
    <w:name w:val="无间隔 Char"/>
    <w:aliases w:val="表格 Char"/>
    <w:link w:val="a3"/>
    <w:uiPriority w:val="1"/>
    <w:rsid w:val="00EA7133"/>
    <w:rPr>
      <w:rFonts w:ascii="Times New Roman" w:eastAsia="宋体" w:hAnsi="Times New Roman"/>
    </w:rPr>
  </w:style>
  <w:style w:type="character" w:styleId="a4">
    <w:name w:val="Strong"/>
    <w:basedOn w:val="a0"/>
    <w:uiPriority w:val="22"/>
    <w:qFormat/>
    <w:rsid w:val="00180A16"/>
    <w:rPr>
      <w:b/>
      <w:bCs/>
    </w:rPr>
  </w:style>
</w:styles>
</file>

<file path=word/webSettings.xml><?xml version="1.0" encoding="utf-8"?>
<w:webSettings xmlns:r="http://schemas.openxmlformats.org/officeDocument/2006/relationships" xmlns:w="http://schemas.openxmlformats.org/wordprocessingml/2006/main">
  <w:divs>
    <w:div w:id="20689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4</cp:revision>
  <dcterms:created xsi:type="dcterms:W3CDTF">2019-10-09T03:32:00Z</dcterms:created>
  <dcterms:modified xsi:type="dcterms:W3CDTF">2019-12-25T08:09:00Z</dcterms:modified>
</cp:coreProperties>
</file>